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214" w:rsidRDefault="00810214" w:rsidP="00810214">
      <w:pPr>
        <w:ind w:right="720"/>
        <w:jc w:val="right"/>
        <w:rPr>
          <w:b/>
        </w:rPr>
      </w:pPr>
      <w:r>
        <w:rPr>
          <w:b/>
        </w:rPr>
        <w:t xml:space="preserve">No:    </w:t>
      </w:r>
      <w:r w:rsidRPr="00DC0AE5">
        <w:rPr>
          <w:b/>
          <w:color w:val="FF0000"/>
        </w:rPr>
        <w:t>1</w:t>
      </w:r>
      <w:r>
        <w:rPr>
          <w:b/>
        </w:rPr>
        <w:t xml:space="preserve">     </w:t>
      </w:r>
    </w:p>
    <w:tbl>
      <w:tblPr>
        <w:tblW w:w="8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2702"/>
        <w:gridCol w:w="417"/>
        <w:gridCol w:w="1538"/>
        <w:gridCol w:w="3088"/>
      </w:tblGrid>
      <w:tr w:rsidR="005726A0" w:rsidTr="00DC0AE5">
        <w:trPr>
          <w:trHeight w:val="433"/>
        </w:trPr>
        <w:tc>
          <w:tcPr>
            <w:tcW w:w="8908" w:type="dxa"/>
            <w:gridSpan w:val="5"/>
            <w:tcBorders>
              <w:bottom w:val="nil"/>
            </w:tcBorders>
            <w:noWrap/>
          </w:tcPr>
          <w:p w:rsidR="005726A0" w:rsidRDefault="005726A0" w:rsidP="00DC0AE5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Name of Compound </w:t>
            </w:r>
          </w:p>
        </w:tc>
      </w:tr>
      <w:tr w:rsidR="00DC0AE5" w:rsidTr="00DC0AE5">
        <w:trPr>
          <w:trHeight w:val="975"/>
        </w:trPr>
        <w:tc>
          <w:tcPr>
            <w:tcW w:w="8908" w:type="dxa"/>
            <w:gridSpan w:val="5"/>
            <w:tcBorders>
              <w:top w:val="nil"/>
            </w:tcBorders>
            <w:noWrap/>
          </w:tcPr>
          <w:p w:rsidR="00DC0AE5" w:rsidRDefault="00DC0AE5">
            <w:pPr>
              <w:spacing w:line="276" w:lineRule="auto"/>
              <w:rPr>
                <w:b/>
              </w:rPr>
            </w:pPr>
            <w:r w:rsidRPr="00DC0AE5">
              <w:rPr>
                <w:b/>
                <w:color w:val="FF0000"/>
              </w:rPr>
              <w:t>(</w:t>
            </w:r>
            <w:r w:rsidRPr="00DC0AE5">
              <w:rPr>
                <w:b/>
                <w:i/>
                <w:color w:val="FF0000"/>
              </w:rPr>
              <w:t>S</w:t>
            </w:r>
            <w:r w:rsidRPr="00DC0AE5">
              <w:rPr>
                <w:b/>
                <w:color w:val="FF0000"/>
              </w:rPr>
              <w:t>)-1-(4-methoxybenzyl)-3-methyl-3-(2-(</w:t>
            </w:r>
            <w:proofErr w:type="gramStart"/>
            <w:r w:rsidRPr="00DC0AE5">
              <w:rPr>
                <w:b/>
                <w:color w:val="FF0000"/>
              </w:rPr>
              <w:t>phenylsulfonyl)ethyl</w:t>
            </w:r>
            <w:proofErr w:type="gramEnd"/>
            <w:r w:rsidRPr="00DC0AE5">
              <w:rPr>
                <w:b/>
                <w:color w:val="FF0000"/>
              </w:rPr>
              <w:t>)indolin-2-one (4a)</w:t>
            </w:r>
          </w:p>
        </w:tc>
      </w:tr>
      <w:tr w:rsidR="00810214" w:rsidTr="00DC0AE5">
        <w:trPr>
          <w:trHeight w:val="405"/>
        </w:trPr>
        <w:tc>
          <w:tcPr>
            <w:tcW w:w="1163" w:type="dxa"/>
            <w:noWrap/>
            <w:hideMark/>
          </w:tcPr>
          <w:p w:rsidR="00810214" w:rsidRDefault="00810214">
            <w:pPr>
              <w:spacing w:line="276" w:lineRule="auto"/>
            </w:pPr>
            <w:r>
              <w:rPr>
                <w:b/>
              </w:rPr>
              <w:t>Ref</w:t>
            </w:r>
            <w:r w:rsidR="005726A0">
              <w:rPr>
                <w:b/>
              </w:rPr>
              <w:t>:</w:t>
            </w:r>
          </w:p>
        </w:tc>
        <w:tc>
          <w:tcPr>
            <w:tcW w:w="7745" w:type="dxa"/>
            <w:gridSpan w:val="4"/>
            <w:noWrap/>
          </w:tcPr>
          <w:p w:rsidR="00810214" w:rsidRPr="00DC0AE5" w:rsidRDefault="00454522">
            <w:pPr>
              <w:spacing w:line="276" w:lineRule="auto"/>
              <w:rPr>
                <w:bCs/>
                <w:color w:val="FF0000"/>
              </w:rPr>
            </w:pPr>
            <w:proofErr w:type="spellStart"/>
            <w:r w:rsidRPr="00DC0AE5">
              <w:rPr>
                <w:bCs/>
                <w:i/>
                <w:iCs/>
                <w:color w:val="FF0000"/>
              </w:rPr>
              <w:t>Angew</w:t>
            </w:r>
            <w:proofErr w:type="spellEnd"/>
            <w:r w:rsidRPr="00DC0AE5">
              <w:rPr>
                <w:bCs/>
                <w:i/>
                <w:iCs/>
                <w:color w:val="FF0000"/>
              </w:rPr>
              <w:t>. Chem. Int. Ed.</w:t>
            </w:r>
            <w:r w:rsidRPr="00DC0AE5">
              <w:rPr>
                <w:bCs/>
                <w:iCs/>
                <w:color w:val="FF0000"/>
              </w:rPr>
              <w:t xml:space="preserve"> </w:t>
            </w:r>
            <w:r w:rsidRPr="00DC0AE5">
              <w:rPr>
                <w:b/>
                <w:bCs/>
                <w:iCs/>
                <w:color w:val="FF0000"/>
              </w:rPr>
              <w:t>2015</w:t>
            </w:r>
            <w:r w:rsidRPr="00DC0AE5">
              <w:rPr>
                <w:bCs/>
                <w:iCs/>
                <w:color w:val="FF0000"/>
              </w:rPr>
              <w:t xml:space="preserve">, </w:t>
            </w:r>
            <w:r w:rsidRPr="00DC0AE5">
              <w:rPr>
                <w:bCs/>
                <w:i/>
                <w:iCs/>
                <w:color w:val="FF0000"/>
              </w:rPr>
              <w:t>54</w:t>
            </w:r>
            <w:r w:rsidRPr="00DC0AE5">
              <w:rPr>
                <w:bCs/>
                <w:iCs/>
                <w:color w:val="FF0000"/>
              </w:rPr>
              <w:t>, 9390-9393.</w:t>
            </w:r>
          </w:p>
        </w:tc>
      </w:tr>
      <w:tr w:rsidR="009745A3" w:rsidTr="00E161A7">
        <w:trPr>
          <w:trHeight w:val="980"/>
        </w:trPr>
        <w:tc>
          <w:tcPr>
            <w:tcW w:w="8908" w:type="dxa"/>
            <w:gridSpan w:val="5"/>
            <w:noWrap/>
            <w:hideMark/>
          </w:tcPr>
          <w:p w:rsidR="009745A3" w:rsidRDefault="009745A3">
            <w:pPr>
              <w:spacing w:line="276" w:lineRule="auto"/>
            </w:pPr>
            <w:r>
              <w:rPr>
                <w:b/>
              </w:rPr>
              <w:t>Prep:</w:t>
            </w:r>
            <w:r w:rsidR="00BF0573">
              <w:rPr>
                <w:b/>
              </w:rPr>
              <w:t xml:space="preserve"> </w:t>
            </w:r>
            <w:r w:rsidR="00BF0573" w:rsidRPr="00BF0573">
              <w:rPr>
                <w:rFonts w:hint="eastAsia"/>
                <w:b/>
                <w:color w:val="FF0000"/>
              </w:rPr>
              <w:t>xxx</w:t>
            </w:r>
          </w:p>
        </w:tc>
      </w:tr>
      <w:tr w:rsidR="005726A0" w:rsidTr="00DC0AE5">
        <w:trPr>
          <w:trHeight w:val="540"/>
        </w:trPr>
        <w:tc>
          <w:tcPr>
            <w:tcW w:w="1163" w:type="dxa"/>
            <w:noWrap/>
            <w:hideMark/>
          </w:tcPr>
          <w:p w:rsidR="005726A0" w:rsidRDefault="005726A0">
            <w:pPr>
              <w:spacing w:line="276" w:lineRule="auto"/>
            </w:pPr>
            <w:r>
              <w:rPr>
                <w:b/>
              </w:rPr>
              <w:t>Yield%</w:t>
            </w:r>
          </w:p>
        </w:tc>
        <w:tc>
          <w:tcPr>
            <w:tcW w:w="3119" w:type="dxa"/>
            <w:gridSpan w:val="2"/>
          </w:tcPr>
          <w:p w:rsidR="005726A0" w:rsidRDefault="005726A0" w:rsidP="008D5173">
            <w:pPr>
              <w:spacing w:line="276" w:lineRule="auto"/>
            </w:pPr>
            <w:r w:rsidRPr="00DC0AE5">
              <w:rPr>
                <w:color w:val="FF0000"/>
              </w:rPr>
              <w:t>99%</w:t>
            </w:r>
          </w:p>
        </w:tc>
        <w:tc>
          <w:tcPr>
            <w:tcW w:w="1538" w:type="dxa"/>
            <w:noWrap/>
            <w:hideMark/>
          </w:tcPr>
          <w:p w:rsidR="005726A0" w:rsidRDefault="005726A0">
            <w:pPr>
              <w:spacing w:line="276" w:lineRule="auto"/>
              <w:rPr>
                <w:b/>
              </w:rPr>
            </w:pPr>
            <w:r>
              <w:rPr>
                <w:b/>
              </w:rPr>
              <w:t>Appearance</w:t>
            </w:r>
            <w:r>
              <w:rPr>
                <w:bCs/>
              </w:rPr>
              <w:t xml:space="preserve">  </w:t>
            </w:r>
          </w:p>
        </w:tc>
        <w:tc>
          <w:tcPr>
            <w:tcW w:w="3088" w:type="dxa"/>
            <w:noWrap/>
            <w:hideMark/>
          </w:tcPr>
          <w:p w:rsidR="005726A0" w:rsidRDefault="005726A0">
            <w:pPr>
              <w:spacing w:line="276" w:lineRule="auto"/>
            </w:pPr>
            <w:r w:rsidRPr="00DC0AE5">
              <w:rPr>
                <w:color w:val="FF0000"/>
              </w:rPr>
              <w:t>Colorless oil</w:t>
            </w:r>
          </w:p>
        </w:tc>
      </w:tr>
      <w:tr w:rsidR="00810214" w:rsidTr="005726A0">
        <w:trPr>
          <w:trHeight w:val="350"/>
        </w:trPr>
        <w:tc>
          <w:tcPr>
            <w:tcW w:w="5820" w:type="dxa"/>
            <w:gridSpan w:val="4"/>
            <w:noWrap/>
            <w:hideMark/>
          </w:tcPr>
          <w:p w:rsidR="00810214" w:rsidRDefault="00810214">
            <w:pPr>
              <w:spacing w:line="276" w:lineRule="auto"/>
            </w:pPr>
            <w:r>
              <w:rPr>
                <w:b/>
              </w:rPr>
              <w:t xml:space="preserve">Structure / Reaction </w:t>
            </w:r>
          </w:p>
        </w:tc>
        <w:tc>
          <w:tcPr>
            <w:tcW w:w="3088" w:type="dxa"/>
            <w:noWrap/>
            <w:hideMark/>
          </w:tcPr>
          <w:p w:rsidR="00810214" w:rsidRDefault="00810214">
            <w:pPr>
              <w:spacing w:line="276" w:lineRule="auto"/>
            </w:pPr>
            <w:r>
              <w:rPr>
                <w:b/>
              </w:rPr>
              <w:t>Formula</w:t>
            </w:r>
          </w:p>
        </w:tc>
      </w:tr>
      <w:tr w:rsidR="00810214" w:rsidTr="005726A0">
        <w:trPr>
          <w:trHeight w:val="1745"/>
        </w:trPr>
        <w:tc>
          <w:tcPr>
            <w:tcW w:w="5820" w:type="dxa"/>
            <w:gridSpan w:val="4"/>
            <w:noWrap/>
          </w:tcPr>
          <w:p w:rsidR="00810214" w:rsidRDefault="00ED6D04" w:rsidP="00B973CF">
            <w:pPr>
              <w:spacing w:line="276" w:lineRule="auto"/>
              <w:jc w:val="center"/>
            </w:pPr>
            <w:r w:rsidRPr="00DC0AE5">
              <w:rPr>
                <w:color w:val="FF0000"/>
              </w:rPr>
              <w:object w:dxaOrig="2445" w:dyaOrig="15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2.25pt;height:78.75pt" o:ole="">
                  <v:imagedata r:id="rId6" o:title=""/>
                </v:shape>
                <o:OLEObject Type="Embed" ProgID="ChemDraw.Document.6.0" ShapeID="_x0000_i1025" DrawAspect="Content" ObjectID="_1620998798" r:id="rId7"/>
              </w:object>
            </w:r>
          </w:p>
          <w:p w:rsidR="00810214" w:rsidRDefault="00810214">
            <w:pPr>
              <w:spacing w:line="276" w:lineRule="auto"/>
            </w:pPr>
          </w:p>
        </w:tc>
        <w:tc>
          <w:tcPr>
            <w:tcW w:w="3088" w:type="dxa"/>
            <w:noWrap/>
            <w:hideMark/>
          </w:tcPr>
          <w:p w:rsidR="00810214" w:rsidRDefault="005971BF">
            <w:pPr>
              <w:spacing w:line="276" w:lineRule="auto"/>
            </w:pPr>
            <w:r w:rsidRPr="00DC0AE5">
              <w:rPr>
                <w:rFonts w:cstheme="minorHAnsi"/>
                <w:color w:val="FF0000"/>
              </w:rPr>
              <w:t>C</w:t>
            </w:r>
            <w:r w:rsidRPr="00DC0AE5">
              <w:rPr>
                <w:rFonts w:cstheme="minorHAnsi"/>
                <w:color w:val="FF0000"/>
                <w:vertAlign w:val="subscript"/>
              </w:rPr>
              <w:t>25</w:t>
            </w:r>
            <w:r w:rsidRPr="00DC0AE5">
              <w:rPr>
                <w:rFonts w:cstheme="minorHAnsi"/>
                <w:color w:val="FF0000"/>
              </w:rPr>
              <w:t>H</w:t>
            </w:r>
            <w:r w:rsidRPr="00DC0AE5">
              <w:rPr>
                <w:rFonts w:cstheme="minorHAnsi"/>
                <w:color w:val="FF0000"/>
                <w:vertAlign w:val="subscript"/>
              </w:rPr>
              <w:t>25</w:t>
            </w:r>
            <w:r w:rsidRPr="00DC0AE5">
              <w:rPr>
                <w:rFonts w:cstheme="minorHAnsi"/>
                <w:color w:val="FF0000"/>
              </w:rPr>
              <w:t>NO</w:t>
            </w:r>
            <w:r w:rsidRPr="00DC0AE5">
              <w:rPr>
                <w:rFonts w:cstheme="minorHAnsi"/>
                <w:color w:val="FF0000"/>
                <w:vertAlign w:val="subscript"/>
              </w:rPr>
              <w:t>4</w:t>
            </w:r>
            <w:r w:rsidRPr="00DC0AE5">
              <w:rPr>
                <w:rFonts w:cstheme="minorHAnsi"/>
                <w:color w:val="FF0000"/>
              </w:rPr>
              <w:t>S</w:t>
            </w:r>
          </w:p>
        </w:tc>
      </w:tr>
      <w:tr w:rsidR="009745A3" w:rsidRPr="00BF0573" w:rsidTr="009745A3">
        <w:trPr>
          <w:trHeight w:val="1703"/>
        </w:trPr>
        <w:tc>
          <w:tcPr>
            <w:tcW w:w="3865" w:type="dxa"/>
            <w:gridSpan w:val="2"/>
            <w:vMerge w:val="restart"/>
            <w:noWrap/>
            <w:hideMark/>
          </w:tcPr>
          <w:p w:rsidR="009745A3" w:rsidRPr="00BE7546" w:rsidRDefault="009745A3" w:rsidP="004429CB">
            <w:pPr>
              <w:spacing w:line="276" w:lineRule="auto"/>
              <w:rPr>
                <w:color w:val="000000" w:themeColor="text1"/>
              </w:rPr>
            </w:pPr>
            <w:r w:rsidRPr="00DC0AE5">
              <w:rPr>
                <w:b/>
                <w:color w:val="000000" w:themeColor="text1"/>
                <w:vertAlign w:val="superscript"/>
              </w:rPr>
              <w:t>1</w:t>
            </w:r>
            <w:r w:rsidRPr="00DC0AE5">
              <w:rPr>
                <w:b/>
                <w:color w:val="000000" w:themeColor="text1"/>
              </w:rPr>
              <w:t>H NMR</w:t>
            </w:r>
            <w:r w:rsidRPr="00DC0AE5">
              <w:rPr>
                <w:color w:val="FF0000"/>
              </w:rPr>
              <w:t xml:space="preserve"> (400 MHz, CDCl</w:t>
            </w:r>
            <w:r w:rsidRPr="00DC0AE5">
              <w:rPr>
                <w:color w:val="FF0000"/>
                <w:vertAlign w:val="subscript"/>
              </w:rPr>
              <w:t>3</w:t>
            </w:r>
            <w:r w:rsidRPr="00DC0AE5">
              <w:rPr>
                <w:color w:val="FF0000"/>
              </w:rPr>
              <w:t xml:space="preserve">) δ 7.86 – 7.74 (m, 2H), 7.71 – 7.59 (m, 1H), 7.55 (t, </w:t>
            </w:r>
            <w:r w:rsidRPr="00DC0AE5">
              <w:rPr>
                <w:i/>
                <w:iCs/>
                <w:color w:val="FF0000"/>
              </w:rPr>
              <w:t>J</w:t>
            </w:r>
            <w:r w:rsidRPr="00DC0AE5">
              <w:rPr>
                <w:color w:val="FF0000"/>
              </w:rPr>
              <w:t xml:space="preserve"> = 7.7 Hz, 2H), 7.22 – 7.12 (m, 3H), 7.09 (dd, </w:t>
            </w:r>
            <w:r w:rsidRPr="00DC0AE5">
              <w:rPr>
                <w:i/>
                <w:iCs/>
                <w:color w:val="FF0000"/>
              </w:rPr>
              <w:t>J</w:t>
            </w:r>
            <w:r w:rsidRPr="00DC0AE5">
              <w:rPr>
                <w:color w:val="FF0000"/>
              </w:rPr>
              <w:t xml:space="preserve"> = 7.3, 0.8 Hz, 1H), 7.02 (td, </w:t>
            </w:r>
            <w:r w:rsidRPr="00DC0AE5">
              <w:rPr>
                <w:i/>
                <w:iCs/>
                <w:color w:val="FF0000"/>
              </w:rPr>
              <w:t>J</w:t>
            </w:r>
            <w:r w:rsidRPr="00DC0AE5">
              <w:rPr>
                <w:color w:val="FF0000"/>
              </w:rPr>
              <w:t xml:space="preserve"> = 7.5, 0.8 Hz, 1H), 6.85 – 6.69 (m, 3H), 4.89 – 4.64 (m, 2H), 3.76 (s, 3H), 2.81 (</w:t>
            </w:r>
            <w:proofErr w:type="spellStart"/>
            <w:r w:rsidRPr="00DC0AE5">
              <w:rPr>
                <w:color w:val="FF0000"/>
              </w:rPr>
              <w:t>dtd</w:t>
            </w:r>
            <w:proofErr w:type="spellEnd"/>
            <w:r w:rsidRPr="00DC0AE5">
              <w:rPr>
                <w:color w:val="FF0000"/>
              </w:rPr>
              <w:t xml:space="preserve">, </w:t>
            </w:r>
            <w:r w:rsidRPr="00DC0AE5">
              <w:rPr>
                <w:i/>
                <w:iCs/>
                <w:color w:val="FF0000"/>
              </w:rPr>
              <w:t>J</w:t>
            </w:r>
            <w:r w:rsidRPr="00DC0AE5">
              <w:rPr>
                <w:color w:val="FF0000"/>
              </w:rPr>
              <w:t xml:space="preserve"> = 17.2, 13.6, 4.2 Hz, 2H), 2.21 (</w:t>
            </w:r>
            <w:proofErr w:type="spellStart"/>
            <w:r w:rsidRPr="00DC0AE5">
              <w:rPr>
                <w:color w:val="FF0000"/>
              </w:rPr>
              <w:t>dtd</w:t>
            </w:r>
            <w:proofErr w:type="spellEnd"/>
            <w:r w:rsidRPr="00DC0AE5">
              <w:rPr>
                <w:color w:val="FF0000"/>
              </w:rPr>
              <w:t xml:space="preserve">, </w:t>
            </w:r>
            <w:r w:rsidRPr="00DC0AE5">
              <w:rPr>
                <w:i/>
                <w:iCs/>
                <w:color w:val="FF0000"/>
              </w:rPr>
              <w:t>J</w:t>
            </w:r>
            <w:r w:rsidRPr="00DC0AE5">
              <w:rPr>
                <w:color w:val="FF0000"/>
              </w:rPr>
              <w:t xml:space="preserve"> = 16.7, 13.1, 4.3 Hz, 2H), 1.38 (s, 3H);</w:t>
            </w:r>
          </w:p>
          <w:p w:rsidR="009745A3" w:rsidRDefault="009745A3" w:rsidP="001F4044">
            <w:pPr>
              <w:spacing w:line="276" w:lineRule="auto"/>
              <w:rPr>
                <w:lang w:val="pt-BR"/>
              </w:rPr>
            </w:pPr>
          </w:p>
        </w:tc>
        <w:tc>
          <w:tcPr>
            <w:tcW w:w="5043" w:type="dxa"/>
            <w:gridSpan w:val="3"/>
            <w:noWrap/>
          </w:tcPr>
          <w:p w:rsidR="009745A3" w:rsidRPr="009745A3" w:rsidRDefault="009745A3">
            <w:pPr>
              <w:spacing w:line="276" w:lineRule="auto"/>
              <w:rPr>
                <w:color w:val="000000" w:themeColor="text1"/>
                <w:lang w:val="pt-BR"/>
              </w:rPr>
            </w:pPr>
            <w:r w:rsidRPr="00DC0AE5">
              <w:rPr>
                <w:b/>
                <w:color w:val="000000" w:themeColor="text1"/>
                <w:vertAlign w:val="superscript"/>
                <w:lang w:val="pt-BR"/>
              </w:rPr>
              <w:t>13</w:t>
            </w:r>
            <w:r w:rsidRPr="00DC0AE5">
              <w:rPr>
                <w:b/>
                <w:color w:val="000000" w:themeColor="text1"/>
                <w:lang w:val="pt-BR"/>
              </w:rPr>
              <w:t>C NMR</w:t>
            </w:r>
            <w:r w:rsidRPr="005971BF">
              <w:rPr>
                <w:color w:val="000000" w:themeColor="text1"/>
                <w:lang w:val="pt-BR"/>
              </w:rPr>
              <w:t xml:space="preserve"> </w:t>
            </w:r>
            <w:r w:rsidRPr="00ED6D04">
              <w:rPr>
                <w:color w:val="FF0000"/>
                <w:lang w:val="pt-BR"/>
              </w:rPr>
              <w:t>(100 MHz, CDCl</w:t>
            </w:r>
            <w:r w:rsidRPr="00ED6D04">
              <w:rPr>
                <w:color w:val="FF0000"/>
                <w:vertAlign w:val="subscript"/>
                <w:lang w:val="pt-BR"/>
              </w:rPr>
              <w:t>3</w:t>
            </w:r>
            <w:r w:rsidRPr="00ED6D04">
              <w:rPr>
                <w:color w:val="FF0000"/>
                <w:lang w:val="pt-BR"/>
              </w:rPr>
              <w:t xml:space="preserve">) </w:t>
            </w:r>
            <w:r w:rsidRPr="00ED6D04">
              <w:rPr>
                <w:color w:val="FF0000"/>
              </w:rPr>
              <w:t>δ</w:t>
            </w:r>
            <w:r w:rsidRPr="00ED6D04">
              <w:rPr>
                <w:color w:val="FF0000"/>
                <w:lang w:val="pt-BR"/>
              </w:rPr>
              <w:t xml:space="preserve"> 178.90, 159.11, 142.01, 138.69, 133.75, 132.07, 129.29, 128.59, 128.40, 127.96, 127.77, 123.01, 122.58, 114.19, 109.36, 55.21, 51.61, 46.67, 43.15, 30.61, 23.45;</w:t>
            </w:r>
          </w:p>
        </w:tc>
      </w:tr>
      <w:tr w:rsidR="009745A3" w:rsidTr="009745A3">
        <w:trPr>
          <w:trHeight w:val="848"/>
        </w:trPr>
        <w:tc>
          <w:tcPr>
            <w:tcW w:w="3865" w:type="dxa"/>
            <w:gridSpan w:val="2"/>
            <w:vMerge/>
            <w:noWrap/>
          </w:tcPr>
          <w:p w:rsidR="009745A3" w:rsidRPr="00ED6D04" w:rsidRDefault="009745A3">
            <w:pPr>
              <w:spacing w:line="276" w:lineRule="auto"/>
              <w:rPr>
                <w:color w:val="000000" w:themeColor="text1"/>
                <w:vertAlign w:val="superscript"/>
                <w:lang w:val="pt-BR"/>
              </w:rPr>
            </w:pPr>
          </w:p>
        </w:tc>
        <w:tc>
          <w:tcPr>
            <w:tcW w:w="5043" w:type="dxa"/>
            <w:gridSpan w:val="3"/>
            <w:noWrap/>
          </w:tcPr>
          <w:p w:rsidR="009745A3" w:rsidRPr="009745A3" w:rsidRDefault="00DC0AE5" w:rsidP="009745A3">
            <w:pPr>
              <w:spacing w:line="276" w:lineRule="auto"/>
              <w:rPr>
                <w:lang w:val="en-SG"/>
              </w:rPr>
            </w:pPr>
            <w:r w:rsidRPr="00DC0AE5">
              <w:rPr>
                <w:b/>
              </w:rPr>
              <w:t xml:space="preserve">HPLC/GC </w:t>
            </w:r>
            <w:r w:rsidR="009745A3" w:rsidRPr="00DC0AE5">
              <w:rPr>
                <w:b/>
              </w:rPr>
              <w:t>analysis</w:t>
            </w:r>
            <w:r w:rsidR="009745A3" w:rsidRPr="005971BF">
              <w:t xml:space="preserve">: </w:t>
            </w:r>
            <w:proofErr w:type="spellStart"/>
            <w:r w:rsidR="009745A3" w:rsidRPr="00ED6D04">
              <w:rPr>
                <w:color w:val="FF0000"/>
              </w:rPr>
              <w:t>Chiralcel</w:t>
            </w:r>
            <w:proofErr w:type="spellEnd"/>
            <w:r w:rsidR="009745A3" w:rsidRPr="00ED6D04">
              <w:rPr>
                <w:color w:val="FF0000"/>
              </w:rPr>
              <w:t xml:space="preserve"> AD-H (Hex/IPA = 90/10, 1.0 mL/min, 254 nm, 22°C), 52.9 (major), 58.1 min, </w:t>
            </w:r>
            <w:r w:rsidR="009745A3" w:rsidRPr="00ED6D04">
              <w:rPr>
                <w:color w:val="FF0000"/>
                <w:lang w:val="en-SG"/>
              </w:rPr>
              <w:t xml:space="preserve">95% </w:t>
            </w:r>
            <w:proofErr w:type="spellStart"/>
            <w:r w:rsidR="009745A3" w:rsidRPr="00ED6D04">
              <w:rPr>
                <w:i/>
                <w:color w:val="FF0000"/>
                <w:lang w:val="en-SG"/>
              </w:rPr>
              <w:t>ee</w:t>
            </w:r>
            <w:proofErr w:type="spellEnd"/>
            <w:r w:rsidR="009745A3" w:rsidRPr="00ED6D04">
              <w:rPr>
                <w:color w:val="FF0000"/>
                <w:lang w:val="en-SG"/>
              </w:rPr>
              <w:t>.</w:t>
            </w:r>
          </w:p>
        </w:tc>
      </w:tr>
      <w:tr w:rsidR="009745A3" w:rsidTr="009A0D97">
        <w:trPr>
          <w:trHeight w:val="847"/>
        </w:trPr>
        <w:tc>
          <w:tcPr>
            <w:tcW w:w="3865" w:type="dxa"/>
            <w:gridSpan w:val="2"/>
            <w:vMerge/>
            <w:noWrap/>
          </w:tcPr>
          <w:p w:rsidR="009745A3" w:rsidRPr="008B38F5" w:rsidRDefault="009745A3">
            <w:pPr>
              <w:spacing w:line="276" w:lineRule="auto"/>
              <w:rPr>
                <w:color w:val="000000" w:themeColor="text1"/>
                <w:vertAlign w:val="superscript"/>
              </w:rPr>
            </w:pPr>
          </w:p>
        </w:tc>
        <w:tc>
          <w:tcPr>
            <w:tcW w:w="5043" w:type="dxa"/>
            <w:gridSpan w:val="3"/>
            <w:tcBorders>
              <w:bottom w:val="single" w:sz="4" w:space="0" w:color="auto"/>
            </w:tcBorders>
            <w:noWrap/>
          </w:tcPr>
          <w:p w:rsidR="009745A3" w:rsidRPr="005971BF" w:rsidRDefault="00ED6D04" w:rsidP="009745A3">
            <w:pPr>
              <w:spacing w:line="276" w:lineRule="auto"/>
            </w:pPr>
            <w:r w:rsidRPr="00ED6D04">
              <w:rPr>
                <w:b/>
              </w:rPr>
              <w:t>Specific optical rotation</w:t>
            </w:r>
            <w:r w:rsidRPr="00ED6D04">
              <w:rPr>
                <w:rFonts w:hint="eastAsia"/>
                <w:b/>
              </w:rPr>
              <w:t>:</w:t>
            </w:r>
            <m:oMath>
              <m:r>
                <m:rPr>
                  <m:sty m:val="b"/>
                </m:rPr>
                <w:rPr>
                  <w:rFonts w:ascii="Cambria Math" w:hAnsi="Cambria Math"/>
                </w:rPr>
                <m:t xml:space="preserve"> </m:t>
              </m:r>
              <m:sSubSup>
                <m:sSubSup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[a]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D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FF0000"/>
                    </w:rPr>
                    <m:t>22</m:t>
                  </m:r>
                </m:sup>
              </m:sSubSup>
            </m:oMath>
            <w:r w:rsidR="009745A3" w:rsidRPr="005035C5">
              <w:rPr>
                <w:rFonts w:cstheme="minorHAnsi"/>
              </w:rPr>
              <w:t xml:space="preserve">= </w:t>
            </w:r>
            <w:r w:rsidR="009745A3" w:rsidRPr="009A0D97">
              <w:rPr>
                <w:rFonts w:cstheme="minorHAnsi"/>
                <w:color w:val="FF0000"/>
              </w:rPr>
              <w:t>–9.9 (</w:t>
            </w:r>
            <w:r w:rsidR="009745A3" w:rsidRPr="009A0D97">
              <w:rPr>
                <w:rFonts w:cstheme="minorHAnsi"/>
                <w:i/>
                <w:iCs/>
                <w:color w:val="FF0000"/>
              </w:rPr>
              <w:t xml:space="preserve">c </w:t>
            </w:r>
            <w:r w:rsidR="009745A3" w:rsidRPr="009A0D97">
              <w:rPr>
                <w:rFonts w:cstheme="minorHAnsi"/>
                <w:color w:val="FF0000"/>
              </w:rPr>
              <w:t>2.65, CHCl</w:t>
            </w:r>
            <w:r w:rsidR="009745A3" w:rsidRPr="009A0D97">
              <w:rPr>
                <w:rFonts w:cstheme="minorHAnsi"/>
                <w:color w:val="FF0000"/>
                <w:vertAlign w:val="subscript"/>
              </w:rPr>
              <w:t>3</w:t>
            </w:r>
            <w:r w:rsidR="009745A3" w:rsidRPr="009A0D97">
              <w:rPr>
                <w:rFonts w:cstheme="minorHAnsi"/>
                <w:color w:val="FF0000"/>
              </w:rPr>
              <w:t>)</w:t>
            </w:r>
            <w:r w:rsidR="009745A3" w:rsidRPr="005035C5">
              <w:rPr>
                <w:rFonts w:cstheme="minorHAnsi"/>
              </w:rPr>
              <w:t>;</w:t>
            </w:r>
          </w:p>
        </w:tc>
      </w:tr>
      <w:tr w:rsidR="005726A0" w:rsidTr="009A0D97">
        <w:trPr>
          <w:trHeight w:val="255"/>
        </w:trPr>
        <w:tc>
          <w:tcPr>
            <w:tcW w:w="1163" w:type="dxa"/>
            <w:tcBorders>
              <w:right w:val="nil"/>
            </w:tcBorders>
            <w:noWrap/>
            <w:hideMark/>
          </w:tcPr>
          <w:p w:rsidR="005726A0" w:rsidRDefault="00ED6D04">
            <w:pPr>
              <w:spacing w:line="276" w:lineRule="auto"/>
              <w:rPr>
                <w:b/>
              </w:rPr>
            </w:pPr>
            <w:r>
              <w:rPr>
                <w:b/>
              </w:rPr>
              <w:t>MS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5726A0" w:rsidRDefault="005726A0">
            <w:pPr>
              <w:spacing w:line="276" w:lineRule="auto"/>
            </w:pPr>
            <w:r>
              <w:t xml:space="preserve">ESI </w:t>
            </w:r>
          </w:p>
        </w:tc>
        <w:tc>
          <w:tcPr>
            <w:tcW w:w="5043" w:type="dxa"/>
            <w:gridSpan w:val="3"/>
            <w:tcBorders>
              <w:left w:val="single" w:sz="4" w:space="0" w:color="auto"/>
            </w:tcBorders>
            <w:noWrap/>
            <w:hideMark/>
          </w:tcPr>
          <w:p w:rsidR="005726A0" w:rsidRDefault="005726A0">
            <w:pPr>
              <w:spacing w:line="276" w:lineRule="auto"/>
            </w:pPr>
            <w:proofErr w:type="spellStart"/>
            <w:r>
              <w:rPr>
                <w:b/>
              </w:rPr>
              <w:t>M.p.</w:t>
            </w:r>
            <w:proofErr w:type="spellEnd"/>
            <w:r w:rsidR="009745A3">
              <w:rPr>
                <w:b/>
              </w:rPr>
              <w:t>:</w:t>
            </w:r>
            <w:r w:rsidR="009A0D97" w:rsidRPr="009A0D97">
              <w:rPr>
                <w:b/>
                <w:color w:val="FF0000"/>
              </w:rPr>
              <w:t xml:space="preserve"> xxx</w:t>
            </w:r>
          </w:p>
        </w:tc>
      </w:tr>
      <w:tr w:rsidR="005726A0" w:rsidTr="009A0D97">
        <w:trPr>
          <w:trHeight w:val="252"/>
        </w:trPr>
        <w:tc>
          <w:tcPr>
            <w:tcW w:w="1163" w:type="dxa"/>
            <w:vMerge w:val="restart"/>
            <w:tcBorders>
              <w:right w:val="nil"/>
            </w:tcBorders>
            <w:noWrap/>
            <w:hideMark/>
          </w:tcPr>
          <w:p w:rsidR="005726A0" w:rsidRDefault="00ED6D04">
            <w:pPr>
              <w:spacing w:line="276" w:lineRule="auto"/>
              <w:rPr>
                <w:b/>
              </w:rPr>
            </w:pPr>
            <w:r>
              <w:rPr>
                <w:b/>
              </w:rPr>
              <w:t>LRMS</w:t>
            </w:r>
          </w:p>
        </w:tc>
        <w:tc>
          <w:tcPr>
            <w:tcW w:w="2702" w:type="dxa"/>
            <w:vMerge w:val="restart"/>
            <w:tcBorders>
              <w:left w:val="nil"/>
            </w:tcBorders>
            <w:noWrap/>
          </w:tcPr>
          <w:p w:rsidR="005726A0" w:rsidRDefault="005726A0">
            <w:pPr>
              <w:spacing w:line="276" w:lineRule="auto"/>
            </w:pPr>
            <w:r>
              <w:t>[M+</w:t>
            </w:r>
            <w:proofErr w:type="gramStart"/>
            <w:r>
              <w:t>H]</w:t>
            </w:r>
            <w:r>
              <w:rPr>
                <w:vertAlign w:val="superscript"/>
              </w:rPr>
              <w:t>+</w:t>
            </w:r>
            <w:proofErr w:type="gramEnd"/>
            <w:r>
              <w:t xml:space="preserve">    </w:t>
            </w:r>
            <w:r w:rsidRPr="005726A0">
              <w:rPr>
                <w:i/>
              </w:rPr>
              <w:t>m/z</w:t>
            </w:r>
            <w:r>
              <w:t xml:space="preserve"> (%)</w:t>
            </w:r>
          </w:p>
          <w:p w:rsidR="005726A0" w:rsidRDefault="00ED6D04">
            <w:pPr>
              <w:spacing w:line="276" w:lineRule="auto"/>
            </w:pPr>
            <w:r>
              <w:t xml:space="preserve"> </w:t>
            </w:r>
            <w:r w:rsidR="009A0D97" w:rsidRPr="009A0D97">
              <w:rPr>
                <w:color w:val="FF0000"/>
              </w:rPr>
              <w:t>xxx</w:t>
            </w:r>
          </w:p>
        </w:tc>
        <w:tc>
          <w:tcPr>
            <w:tcW w:w="5043" w:type="dxa"/>
            <w:gridSpan w:val="3"/>
            <w:tcBorders>
              <w:bottom w:val="nil"/>
            </w:tcBorders>
            <w:shd w:val="clear" w:color="auto" w:fill="auto"/>
            <w:noWrap/>
            <w:hideMark/>
          </w:tcPr>
          <w:p w:rsidR="005726A0" w:rsidRPr="00C96796" w:rsidRDefault="005726A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b/>
              </w:rPr>
              <w:t>IR</w:t>
            </w:r>
            <w:r>
              <w:t>/cm</w:t>
            </w:r>
            <w:r>
              <w:rPr>
                <w:sz w:val="16"/>
                <w:szCs w:val="16"/>
                <w:vertAlign w:val="superscript"/>
              </w:rPr>
              <w:t>-1</w:t>
            </w:r>
          </w:p>
        </w:tc>
      </w:tr>
      <w:tr w:rsidR="005726A0" w:rsidTr="009A0D97">
        <w:trPr>
          <w:trHeight w:val="720"/>
        </w:trPr>
        <w:tc>
          <w:tcPr>
            <w:tcW w:w="1163" w:type="dxa"/>
            <w:vMerge/>
            <w:tcBorders>
              <w:bottom w:val="single" w:sz="4" w:space="0" w:color="auto"/>
              <w:right w:val="nil"/>
            </w:tcBorders>
            <w:vAlign w:val="center"/>
            <w:hideMark/>
          </w:tcPr>
          <w:p w:rsidR="005726A0" w:rsidRDefault="005726A0">
            <w:pPr>
              <w:spacing w:line="256" w:lineRule="auto"/>
              <w:rPr>
                <w:b/>
              </w:rPr>
            </w:pPr>
          </w:p>
        </w:tc>
        <w:tc>
          <w:tcPr>
            <w:tcW w:w="2702" w:type="dxa"/>
            <w:vMerge/>
            <w:tcBorders>
              <w:left w:val="nil"/>
              <w:bottom w:val="single" w:sz="4" w:space="0" w:color="auto"/>
            </w:tcBorders>
            <w:vAlign w:val="center"/>
            <w:hideMark/>
          </w:tcPr>
          <w:p w:rsidR="005726A0" w:rsidRDefault="005726A0">
            <w:pPr>
              <w:spacing w:line="256" w:lineRule="auto"/>
            </w:pPr>
          </w:p>
        </w:tc>
        <w:tc>
          <w:tcPr>
            <w:tcW w:w="5043" w:type="dxa"/>
            <w:gridSpan w:val="3"/>
            <w:tcBorders>
              <w:top w:val="nil"/>
            </w:tcBorders>
            <w:noWrap/>
          </w:tcPr>
          <w:p w:rsidR="005726A0" w:rsidRDefault="005726A0">
            <w:pPr>
              <w:spacing w:line="276" w:lineRule="auto"/>
            </w:pPr>
            <w:r w:rsidRPr="009A0D97">
              <w:rPr>
                <w:color w:val="FF0000"/>
              </w:rPr>
              <w:t>2330,1705,1612,1495, 1450,1303, 1249,1149, 965</w:t>
            </w:r>
          </w:p>
        </w:tc>
      </w:tr>
      <w:tr w:rsidR="005726A0" w:rsidTr="009A0D97">
        <w:trPr>
          <w:trHeight w:val="360"/>
        </w:trPr>
        <w:tc>
          <w:tcPr>
            <w:tcW w:w="1163" w:type="dxa"/>
            <w:tcBorders>
              <w:bottom w:val="nil"/>
              <w:right w:val="nil"/>
            </w:tcBorders>
            <w:noWrap/>
            <w:hideMark/>
          </w:tcPr>
          <w:p w:rsidR="005726A0" w:rsidRDefault="005726A0">
            <w:pPr>
              <w:spacing w:line="276" w:lineRule="auto"/>
              <w:rPr>
                <w:b/>
              </w:rPr>
            </w:pPr>
            <w:r>
              <w:rPr>
                <w:b/>
              </w:rPr>
              <w:t>HRMS</w:t>
            </w:r>
          </w:p>
        </w:tc>
        <w:tc>
          <w:tcPr>
            <w:tcW w:w="2702" w:type="dxa"/>
            <w:tcBorders>
              <w:left w:val="nil"/>
              <w:bottom w:val="nil"/>
            </w:tcBorders>
            <w:noWrap/>
            <w:hideMark/>
          </w:tcPr>
          <w:p w:rsidR="005726A0" w:rsidRDefault="005726A0">
            <w:pPr>
              <w:spacing w:line="276" w:lineRule="auto"/>
            </w:pPr>
            <w:r w:rsidRPr="009A0D97">
              <w:rPr>
                <w:rFonts w:cstheme="minorHAnsi"/>
                <w:color w:val="FF0000"/>
              </w:rPr>
              <w:t>436.1586</w:t>
            </w:r>
          </w:p>
        </w:tc>
        <w:tc>
          <w:tcPr>
            <w:tcW w:w="5043" w:type="dxa"/>
            <w:gridSpan w:val="3"/>
            <w:tcBorders>
              <w:bottom w:val="single" w:sz="4" w:space="0" w:color="auto"/>
            </w:tcBorders>
            <w:noWrap/>
            <w:hideMark/>
          </w:tcPr>
          <w:p w:rsidR="005726A0" w:rsidRDefault="005726A0">
            <w:pPr>
              <w:spacing w:line="276" w:lineRule="auto"/>
            </w:pPr>
            <w:r>
              <w:rPr>
                <w:b/>
              </w:rPr>
              <w:t xml:space="preserve">Other NMR tech </w:t>
            </w:r>
          </w:p>
        </w:tc>
      </w:tr>
      <w:tr w:rsidR="005726A0" w:rsidTr="009A0D97">
        <w:trPr>
          <w:trHeight w:val="180"/>
        </w:trPr>
        <w:tc>
          <w:tcPr>
            <w:tcW w:w="1163" w:type="dxa"/>
            <w:vMerge w:val="restart"/>
            <w:tcBorders>
              <w:top w:val="nil"/>
              <w:left w:val="single" w:sz="4" w:space="0" w:color="auto"/>
              <w:right w:val="nil"/>
            </w:tcBorders>
            <w:noWrap/>
            <w:hideMark/>
          </w:tcPr>
          <w:p w:rsidR="005726A0" w:rsidRPr="00ED6D04" w:rsidRDefault="005726A0">
            <w:pPr>
              <w:spacing w:line="276" w:lineRule="auto"/>
              <w:rPr>
                <w:b/>
              </w:rPr>
            </w:pPr>
            <w:r w:rsidRPr="00ED6D04">
              <w:rPr>
                <w:b/>
              </w:rPr>
              <w:t>Cal.</w:t>
            </w:r>
          </w:p>
        </w:tc>
        <w:tc>
          <w:tcPr>
            <w:tcW w:w="2702" w:type="dxa"/>
            <w:vMerge w:val="restart"/>
            <w:tcBorders>
              <w:top w:val="nil"/>
              <w:left w:val="nil"/>
            </w:tcBorders>
            <w:noWrap/>
            <w:hideMark/>
          </w:tcPr>
          <w:p w:rsidR="005726A0" w:rsidRPr="00ED6D04" w:rsidRDefault="005726A0">
            <w:pPr>
              <w:spacing w:line="276" w:lineRule="auto"/>
              <w:rPr>
                <w:lang w:val="en-SG"/>
              </w:rPr>
            </w:pPr>
            <w:r w:rsidRPr="00ED6D04">
              <w:rPr>
                <w:lang w:val="pt-BR"/>
              </w:rPr>
              <w:t>[</w:t>
            </w:r>
            <w:r w:rsidRPr="00ED6D04">
              <w:rPr>
                <w:rFonts w:cstheme="minorHAnsi"/>
              </w:rPr>
              <w:t>C</w:t>
            </w:r>
            <w:r w:rsidRPr="00ED6D04">
              <w:rPr>
                <w:rFonts w:cstheme="minorHAnsi"/>
                <w:vertAlign w:val="subscript"/>
              </w:rPr>
              <w:t>25</w:t>
            </w:r>
            <w:r w:rsidRPr="00ED6D04">
              <w:rPr>
                <w:rFonts w:cstheme="minorHAnsi"/>
              </w:rPr>
              <w:t>H</w:t>
            </w:r>
            <w:r w:rsidRPr="00ED6D04">
              <w:rPr>
                <w:rFonts w:cstheme="minorHAnsi"/>
                <w:vertAlign w:val="subscript"/>
              </w:rPr>
              <w:t>25</w:t>
            </w:r>
            <w:r w:rsidRPr="00ED6D04">
              <w:rPr>
                <w:rFonts w:cstheme="minorHAnsi"/>
              </w:rPr>
              <w:t>NO</w:t>
            </w:r>
            <w:r w:rsidRPr="00ED6D04">
              <w:rPr>
                <w:rFonts w:cstheme="minorHAnsi"/>
                <w:vertAlign w:val="subscript"/>
              </w:rPr>
              <w:t>4</w:t>
            </w:r>
            <w:r w:rsidRPr="00ED6D04">
              <w:rPr>
                <w:rFonts w:cstheme="minorHAnsi"/>
              </w:rPr>
              <w:t>S</w:t>
            </w:r>
            <w:r w:rsidRPr="00ED6D04">
              <w:rPr>
                <w:lang w:val="pt-BR"/>
              </w:rPr>
              <w:t xml:space="preserve"> +H</w:t>
            </w:r>
            <w:r w:rsidRPr="00ED6D04">
              <w:rPr>
                <w:vertAlign w:val="superscript"/>
                <w:lang w:val="pt-BR"/>
              </w:rPr>
              <w:t>+</w:t>
            </w:r>
            <w:r w:rsidRPr="00ED6D04">
              <w:rPr>
                <w:lang w:val="pt-BR"/>
              </w:rPr>
              <w:t>]</w:t>
            </w:r>
            <w:r w:rsidRPr="00ED6D04">
              <w:rPr>
                <w:lang w:val="en-SG"/>
              </w:rPr>
              <w:t xml:space="preserve"> </w:t>
            </w:r>
            <w:r w:rsidRPr="00ED6D04">
              <w:rPr>
                <w:i/>
              </w:rPr>
              <w:t>m/z</w:t>
            </w:r>
          </w:p>
          <w:p w:rsidR="005726A0" w:rsidRPr="00ED6D04" w:rsidRDefault="005726A0">
            <w:pPr>
              <w:spacing w:line="276" w:lineRule="auto"/>
            </w:pPr>
            <w:r w:rsidRPr="009A0D97">
              <w:rPr>
                <w:rFonts w:cstheme="minorHAnsi"/>
                <w:color w:val="FF0000"/>
              </w:rPr>
              <w:t>436.1583</w:t>
            </w:r>
          </w:p>
        </w:tc>
        <w:tc>
          <w:tcPr>
            <w:tcW w:w="5043" w:type="dxa"/>
            <w:gridSpan w:val="3"/>
            <w:tcBorders>
              <w:bottom w:val="nil"/>
            </w:tcBorders>
            <w:noWrap/>
            <w:hideMark/>
          </w:tcPr>
          <w:p w:rsidR="005726A0" w:rsidRDefault="005726A0">
            <w:pPr>
              <w:spacing w:line="256" w:lineRule="auto"/>
            </w:pPr>
            <w:r>
              <w:rPr>
                <w:b/>
              </w:rPr>
              <w:t>COSEY</w:t>
            </w:r>
          </w:p>
        </w:tc>
      </w:tr>
      <w:tr w:rsidR="005726A0" w:rsidTr="009A0D97">
        <w:trPr>
          <w:trHeight w:val="345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5726A0" w:rsidRDefault="005726A0">
            <w:pPr>
              <w:spacing w:line="256" w:lineRule="auto"/>
              <w:rPr>
                <w:b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nil"/>
            </w:tcBorders>
            <w:vAlign w:val="center"/>
            <w:hideMark/>
          </w:tcPr>
          <w:p w:rsidR="005726A0" w:rsidRDefault="005726A0">
            <w:pPr>
              <w:spacing w:line="256" w:lineRule="auto"/>
            </w:pPr>
          </w:p>
        </w:tc>
        <w:tc>
          <w:tcPr>
            <w:tcW w:w="5043" w:type="dxa"/>
            <w:gridSpan w:val="3"/>
            <w:tcBorders>
              <w:top w:val="nil"/>
              <w:bottom w:val="nil"/>
            </w:tcBorders>
            <w:noWrap/>
            <w:hideMark/>
          </w:tcPr>
          <w:p w:rsidR="005726A0" w:rsidRDefault="005726A0">
            <w:pPr>
              <w:spacing w:line="256" w:lineRule="auto"/>
            </w:pPr>
            <w:r>
              <w:rPr>
                <w:b/>
              </w:rPr>
              <w:t>HMQC</w:t>
            </w:r>
          </w:p>
        </w:tc>
      </w:tr>
      <w:tr w:rsidR="005726A0" w:rsidTr="009A0D97">
        <w:trPr>
          <w:trHeight w:val="36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noWrap/>
          </w:tcPr>
          <w:p w:rsidR="005726A0" w:rsidRDefault="005726A0">
            <w:pPr>
              <w:spacing w:line="276" w:lineRule="auto"/>
              <w:rPr>
                <w:b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nil"/>
            </w:tcBorders>
            <w:noWrap/>
          </w:tcPr>
          <w:p w:rsidR="005726A0" w:rsidRDefault="005726A0">
            <w:pPr>
              <w:spacing w:line="276" w:lineRule="auto"/>
            </w:pPr>
          </w:p>
        </w:tc>
        <w:tc>
          <w:tcPr>
            <w:tcW w:w="5043" w:type="dxa"/>
            <w:gridSpan w:val="3"/>
            <w:tcBorders>
              <w:top w:val="nil"/>
            </w:tcBorders>
            <w:noWrap/>
            <w:hideMark/>
          </w:tcPr>
          <w:p w:rsidR="005726A0" w:rsidRDefault="005726A0">
            <w:pPr>
              <w:spacing w:line="256" w:lineRule="auto"/>
            </w:pPr>
            <w:r>
              <w:rPr>
                <w:b/>
              </w:rPr>
              <w:t>NOESY</w:t>
            </w:r>
          </w:p>
        </w:tc>
      </w:tr>
    </w:tbl>
    <w:p w:rsidR="009A0D97" w:rsidRDefault="009A0D97">
      <w:pPr>
        <w:spacing w:after="200" w:line="276" w:lineRule="auto"/>
        <w:rPr>
          <w:b/>
          <w:u w:val="single"/>
        </w:rPr>
      </w:pPr>
    </w:p>
    <w:p w:rsidR="005726A0" w:rsidRPr="009A0D97" w:rsidRDefault="009A0D97">
      <w:pPr>
        <w:spacing w:after="200" w:line="276" w:lineRule="auto"/>
        <w:rPr>
          <w:b/>
          <w:u w:val="single"/>
        </w:rPr>
      </w:pPr>
      <w:r w:rsidRPr="009A0D97">
        <w:rPr>
          <w:rFonts w:hint="eastAsia"/>
          <w:b/>
          <w:u w:val="single"/>
        </w:rPr>
        <w:t>注明：红色部分为举例</w:t>
      </w:r>
      <w:r>
        <w:rPr>
          <w:rFonts w:hint="eastAsia"/>
          <w:b/>
          <w:u w:val="single"/>
        </w:rPr>
        <w:t>说明</w:t>
      </w:r>
      <w:r w:rsidR="00BF0573">
        <w:rPr>
          <w:rFonts w:hint="eastAsia"/>
          <w:b/>
          <w:u w:val="single"/>
        </w:rPr>
        <w:t>，请按照实际情况自行修改</w:t>
      </w:r>
      <w:r w:rsidRPr="009A0D97">
        <w:rPr>
          <w:rFonts w:hint="eastAsia"/>
          <w:b/>
          <w:u w:val="single"/>
        </w:rPr>
        <w:t>。</w:t>
      </w:r>
      <w:bookmarkStart w:id="0" w:name="_GoBack"/>
      <w:bookmarkEnd w:id="0"/>
    </w:p>
    <w:sectPr w:rsidR="005726A0" w:rsidRPr="009A0D9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EED" w:rsidRDefault="001F2EED" w:rsidP="00567BE7">
      <w:r>
        <w:separator/>
      </w:r>
    </w:p>
  </w:endnote>
  <w:endnote w:type="continuationSeparator" w:id="0">
    <w:p w:rsidR="001F2EED" w:rsidRDefault="001F2EED" w:rsidP="00567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7119873"/>
      <w:docPartObj>
        <w:docPartGallery w:val="Page Numbers (Bottom of Page)"/>
        <w:docPartUnique/>
      </w:docPartObj>
    </w:sdtPr>
    <w:sdtEndPr/>
    <w:sdtContent>
      <w:p w:rsidR="00B235B9" w:rsidRDefault="00B235B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A6A" w:rsidRPr="00EB3A6A">
          <w:rPr>
            <w:noProof/>
            <w:lang w:val="zh-CN"/>
          </w:rPr>
          <w:t>29</w:t>
        </w:r>
        <w:r>
          <w:fldChar w:fldCharType="end"/>
        </w:r>
      </w:p>
    </w:sdtContent>
  </w:sdt>
  <w:p w:rsidR="00B235B9" w:rsidRDefault="00B235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EED" w:rsidRDefault="001F2EED" w:rsidP="00567BE7">
      <w:r>
        <w:separator/>
      </w:r>
    </w:p>
  </w:footnote>
  <w:footnote w:type="continuationSeparator" w:id="0">
    <w:p w:rsidR="001F2EED" w:rsidRDefault="001F2EED" w:rsidP="00567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0BE"/>
    <w:rsid w:val="0001360C"/>
    <w:rsid w:val="00013AFB"/>
    <w:rsid w:val="0001657F"/>
    <w:rsid w:val="00024B21"/>
    <w:rsid w:val="00034B5A"/>
    <w:rsid w:val="00052E31"/>
    <w:rsid w:val="00067FFA"/>
    <w:rsid w:val="000730FD"/>
    <w:rsid w:val="00097387"/>
    <w:rsid w:val="000A2149"/>
    <w:rsid w:val="000A6FE3"/>
    <w:rsid w:val="000C316C"/>
    <w:rsid w:val="000C4EC9"/>
    <w:rsid w:val="000C5D54"/>
    <w:rsid w:val="000D6035"/>
    <w:rsid w:val="000F6C4D"/>
    <w:rsid w:val="00102314"/>
    <w:rsid w:val="00104837"/>
    <w:rsid w:val="00105390"/>
    <w:rsid w:val="00106227"/>
    <w:rsid w:val="00110AD5"/>
    <w:rsid w:val="00110C86"/>
    <w:rsid w:val="00115E51"/>
    <w:rsid w:val="00134A3F"/>
    <w:rsid w:val="00143F6C"/>
    <w:rsid w:val="00146E9C"/>
    <w:rsid w:val="0015661D"/>
    <w:rsid w:val="00156837"/>
    <w:rsid w:val="00161A58"/>
    <w:rsid w:val="001627B5"/>
    <w:rsid w:val="00177BA3"/>
    <w:rsid w:val="001918AD"/>
    <w:rsid w:val="001A1647"/>
    <w:rsid w:val="001A77B4"/>
    <w:rsid w:val="001B4558"/>
    <w:rsid w:val="001C0A6F"/>
    <w:rsid w:val="001C4C9A"/>
    <w:rsid w:val="001D681A"/>
    <w:rsid w:val="001F2EED"/>
    <w:rsid w:val="001F398D"/>
    <w:rsid w:val="001F4044"/>
    <w:rsid w:val="001F4E3B"/>
    <w:rsid w:val="001F6B0C"/>
    <w:rsid w:val="002055B8"/>
    <w:rsid w:val="0023631D"/>
    <w:rsid w:val="00240BE4"/>
    <w:rsid w:val="00253268"/>
    <w:rsid w:val="00287DD6"/>
    <w:rsid w:val="002914C3"/>
    <w:rsid w:val="00292B17"/>
    <w:rsid w:val="00295AB4"/>
    <w:rsid w:val="002B5CF1"/>
    <w:rsid w:val="002C5069"/>
    <w:rsid w:val="002E040D"/>
    <w:rsid w:val="003145DF"/>
    <w:rsid w:val="00320DA6"/>
    <w:rsid w:val="00325A1A"/>
    <w:rsid w:val="003300FF"/>
    <w:rsid w:val="003811AE"/>
    <w:rsid w:val="0038336F"/>
    <w:rsid w:val="003A4199"/>
    <w:rsid w:val="003B14FA"/>
    <w:rsid w:val="003B4884"/>
    <w:rsid w:val="003C58BF"/>
    <w:rsid w:val="003E2336"/>
    <w:rsid w:val="00420630"/>
    <w:rsid w:val="00420790"/>
    <w:rsid w:val="00422B65"/>
    <w:rsid w:val="004429CB"/>
    <w:rsid w:val="00443791"/>
    <w:rsid w:val="00454522"/>
    <w:rsid w:val="00457415"/>
    <w:rsid w:val="00467606"/>
    <w:rsid w:val="004801C0"/>
    <w:rsid w:val="00481ECE"/>
    <w:rsid w:val="004909AC"/>
    <w:rsid w:val="00497246"/>
    <w:rsid w:val="0049738F"/>
    <w:rsid w:val="004B21F3"/>
    <w:rsid w:val="004B342F"/>
    <w:rsid w:val="004C1AA3"/>
    <w:rsid w:val="004C4853"/>
    <w:rsid w:val="005335AD"/>
    <w:rsid w:val="0053690D"/>
    <w:rsid w:val="005553DF"/>
    <w:rsid w:val="005555F8"/>
    <w:rsid w:val="00557EEB"/>
    <w:rsid w:val="00567BE7"/>
    <w:rsid w:val="00570C6F"/>
    <w:rsid w:val="005726A0"/>
    <w:rsid w:val="0057774D"/>
    <w:rsid w:val="00581352"/>
    <w:rsid w:val="00593A17"/>
    <w:rsid w:val="00596050"/>
    <w:rsid w:val="005971BF"/>
    <w:rsid w:val="005B2729"/>
    <w:rsid w:val="005B4661"/>
    <w:rsid w:val="005C118F"/>
    <w:rsid w:val="005D0784"/>
    <w:rsid w:val="005D22C0"/>
    <w:rsid w:val="005E22F8"/>
    <w:rsid w:val="00602B8A"/>
    <w:rsid w:val="0062770E"/>
    <w:rsid w:val="00630931"/>
    <w:rsid w:val="00635E11"/>
    <w:rsid w:val="006431F3"/>
    <w:rsid w:val="00644E93"/>
    <w:rsid w:val="00655977"/>
    <w:rsid w:val="00667707"/>
    <w:rsid w:val="00675153"/>
    <w:rsid w:val="00696560"/>
    <w:rsid w:val="006C7D6C"/>
    <w:rsid w:val="006D070E"/>
    <w:rsid w:val="006D0933"/>
    <w:rsid w:val="006D72C3"/>
    <w:rsid w:val="006F2B10"/>
    <w:rsid w:val="007007F5"/>
    <w:rsid w:val="00727761"/>
    <w:rsid w:val="00730B00"/>
    <w:rsid w:val="007345FF"/>
    <w:rsid w:val="00745F9E"/>
    <w:rsid w:val="00757E3D"/>
    <w:rsid w:val="00764D32"/>
    <w:rsid w:val="0076699B"/>
    <w:rsid w:val="0078618E"/>
    <w:rsid w:val="007B4EEF"/>
    <w:rsid w:val="007D2ABC"/>
    <w:rsid w:val="007F073E"/>
    <w:rsid w:val="007F140F"/>
    <w:rsid w:val="00802C22"/>
    <w:rsid w:val="00804A16"/>
    <w:rsid w:val="00804A5C"/>
    <w:rsid w:val="00810214"/>
    <w:rsid w:val="00825712"/>
    <w:rsid w:val="008336EA"/>
    <w:rsid w:val="008501E4"/>
    <w:rsid w:val="0085284E"/>
    <w:rsid w:val="00856C05"/>
    <w:rsid w:val="00866C19"/>
    <w:rsid w:val="00876C25"/>
    <w:rsid w:val="00886277"/>
    <w:rsid w:val="008B658C"/>
    <w:rsid w:val="008D1ADC"/>
    <w:rsid w:val="008D5173"/>
    <w:rsid w:val="0091170F"/>
    <w:rsid w:val="00912DDC"/>
    <w:rsid w:val="00940564"/>
    <w:rsid w:val="00961A8D"/>
    <w:rsid w:val="009745A3"/>
    <w:rsid w:val="0097481A"/>
    <w:rsid w:val="009755DE"/>
    <w:rsid w:val="00992DE9"/>
    <w:rsid w:val="009A0D97"/>
    <w:rsid w:val="009A6A77"/>
    <w:rsid w:val="009D46E5"/>
    <w:rsid w:val="009E016B"/>
    <w:rsid w:val="009E32EB"/>
    <w:rsid w:val="009E7008"/>
    <w:rsid w:val="009F0B46"/>
    <w:rsid w:val="009F7372"/>
    <w:rsid w:val="00A10A48"/>
    <w:rsid w:val="00A3492A"/>
    <w:rsid w:val="00A53219"/>
    <w:rsid w:val="00A56282"/>
    <w:rsid w:val="00A630BE"/>
    <w:rsid w:val="00A828E7"/>
    <w:rsid w:val="00A90831"/>
    <w:rsid w:val="00A915E9"/>
    <w:rsid w:val="00AB18A2"/>
    <w:rsid w:val="00AC5D52"/>
    <w:rsid w:val="00AD6314"/>
    <w:rsid w:val="00AE5821"/>
    <w:rsid w:val="00AE6039"/>
    <w:rsid w:val="00B128C5"/>
    <w:rsid w:val="00B2354E"/>
    <w:rsid w:val="00B235B9"/>
    <w:rsid w:val="00B31546"/>
    <w:rsid w:val="00B4302C"/>
    <w:rsid w:val="00B47673"/>
    <w:rsid w:val="00B95129"/>
    <w:rsid w:val="00B973CF"/>
    <w:rsid w:val="00BA06F9"/>
    <w:rsid w:val="00BA1386"/>
    <w:rsid w:val="00BA5ECF"/>
    <w:rsid w:val="00BD0FF8"/>
    <w:rsid w:val="00BD2102"/>
    <w:rsid w:val="00BD23E5"/>
    <w:rsid w:val="00BE0DD6"/>
    <w:rsid w:val="00BE41DB"/>
    <w:rsid w:val="00BE7546"/>
    <w:rsid w:val="00BF0573"/>
    <w:rsid w:val="00C37242"/>
    <w:rsid w:val="00C463C2"/>
    <w:rsid w:val="00C50DF3"/>
    <w:rsid w:val="00C826C0"/>
    <w:rsid w:val="00C96796"/>
    <w:rsid w:val="00CA52A1"/>
    <w:rsid w:val="00CA6AAF"/>
    <w:rsid w:val="00CC6F35"/>
    <w:rsid w:val="00CD36AE"/>
    <w:rsid w:val="00CE5146"/>
    <w:rsid w:val="00CF449A"/>
    <w:rsid w:val="00D06345"/>
    <w:rsid w:val="00D25B30"/>
    <w:rsid w:val="00D31597"/>
    <w:rsid w:val="00D372AD"/>
    <w:rsid w:val="00D40E84"/>
    <w:rsid w:val="00D4111F"/>
    <w:rsid w:val="00D47749"/>
    <w:rsid w:val="00D53530"/>
    <w:rsid w:val="00D72D00"/>
    <w:rsid w:val="00D735A5"/>
    <w:rsid w:val="00D87FC6"/>
    <w:rsid w:val="00D902AA"/>
    <w:rsid w:val="00D97D0B"/>
    <w:rsid w:val="00DB0620"/>
    <w:rsid w:val="00DB3811"/>
    <w:rsid w:val="00DC0AE5"/>
    <w:rsid w:val="00DD7322"/>
    <w:rsid w:val="00DF45FC"/>
    <w:rsid w:val="00DF4ADF"/>
    <w:rsid w:val="00E00358"/>
    <w:rsid w:val="00E019D5"/>
    <w:rsid w:val="00E12053"/>
    <w:rsid w:val="00E13DF0"/>
    <w:rsid w:val="00E218E1"/>
    <w:rsid w:val="00E30724"/>
    <w:rsid w:val="00E328FB"/>
    <w:rsid w:val="00E45508"/>
    <w:rsid w:val="00E60CB8"/>
    <w:rsid w:val="00E60FE0"/>
    <w:rsid w:val="00E617A4"/>
    <w:rsid w:val="00E6231E"/>
    <w:rsid w:val="00EA62C1"/>
    <w:rsid w:val="00EB3A6A"/>
    <w:rsid w:val="00EC15DE"/>
    <w:rsid w:val="00ED6D04"/>
    <w:rsid w:val="00EE7121"/>
    <w:rsid w:val="00EF3C6B"/>
    <w:rsid w:val="00EF7D93"/>
    <w:rsid w:val="00F01F98"/>
    <w:rsid w:val="00F22795"/>
    <w:rsid w:val="00F4021A"/>
    <w:rsid w:val="00F429FF"/>
    <w:rsid w:val="00F63809"/>
    <w:rsid w:val="00F63AAD"/>
    <w:rsid w:val="00F95EE5"/>
    <w:rsid w:val="00FA5925"/>
    <w:rsid w:val="00FB1A26"/>
    <w:rsid w:val="00FC1CC1"/>
    <w:rsid w:val="00FE327B"/>
    <w:rsid w:val="00FF0181"/>
    <w:rsid w:val="00FF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EF8DCC"/>
  <w15:chartTrackingRefBased/>
  <w15:docId w15:val="{5C75A79F-A7E4-4F45-B662-7EBC9460B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BE7"/>
    <w:pPr>
      <w:spacing w:after="0" w:line="240" w:lineRule="auto"/>
    </w:pPr>
    <w:rPr>
      <w:rFonts w:ascii="Times New Roman" w:eastAsia="宋体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BE7"/>
    <w:pPr>
      <w:tabs>
        <w:tab w:val="center" w:pos="4513"/>
        <w:tab w:val="right" w:pos="9026"/>
      </w:tabs>
    </w:pPr>
  </w:style>
  <w:style w:type="character" w:customStyle="1" w:styleId="a4">
    <w:name w:val="页眉 字符"/>
    <w:basedOn w:val="a0"/>
    <w:link w:val="a3"/>
    <w:uiPriority w:val="99"/>
    <w:rsid w:val="00567BE7"/>
  </w:style>
  <w:style w:type="paragraph" w:styleId="a5">
    <w:name w:val="footer"/>
    <w:basedOn w:val="a"/>
    <w:link w:val="a6"/>
    <w:uiPriority w:val="99"/>
    <w:unhideWhenUsed/>
    <w:rsid w:val="00567BE7"/>
    <w:pPr>
      <w:tabs>
        <w:tab w:val="center" w:pos="4513"/>
        <w:tab w:val="right" w:pos="9026"/>
      </w:tabs>
    </w:pPr>
  </w:style>
  <w:style w:type="character" w:customStyle="1" w:styleId="a6">
    <w:name w:val="页脚 字符"/>
    <w:basedOn w:val="a0"/>
    <w:link w:val="a5"/>
    <w:uiPriority w:val="99"/>
    <w:rsid w:val="00567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51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 </cp:lastModifiedBy>
  <cp:revision>10</cp:revision>
  <cp:lastPrinted>2015-04-27T08:06:00Z</cp:lastPrinted>
  <dcterms:created xsi:type="dcterms:W3CDTF">2019-06-02T08:02:00Z</dcterms:created>
  <dcterms:modified xsi:type="dcterms:W3CDTF">2019-06-02T08:39:00Z</dcterms:modified>
</cp:coreProperties>
</file>